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33F2" w14:textId="27A90DCA" w:rsidR="00552596" w:rsidRPr="00E01E09" w:rsidRDefault="00CF7BF4" w:rsidP="00E01E09">
      <w:pPr>
        <w:tabs>
          <w:tab w:val="left" w:pos="6096"/>
        </w:tabs>
        <w:ind w:firstLine="567"/>
        <w:jc w:val="both"/>
        <w:rPr>
          <w:rFonts w:ascii="PragmaticaCTT" w:hAnsi="PragmaticaCTT"/>
          <w:sz w:val="28"/>
          <w:szCs w:val="28"/>
        </w:rPr>
      </w:pPr>
      <w:r w:rsidRPr="00E01E09">
        <w:rPr>
          <w:rFonts w:ascii="PragmaticaCTT" w:hAnsi="PragmaticaCTT"/>
          <w:sz w:val="28"/>
          <w:szCs w:val="28"/>
        </w:rPr>
        <w:t>Публічне акціонерне товариство «Черкаський», відповідно до вимог положень Закону України «Про цінні папери та фондовий ринок», як акціонерне товариство, яке не здійснювало публічну пропозицію</w:t>
      </w:r>
      <w:r w:rsidR="00973D0D" w:rsidRPr="00E01E09">
        <w:rPr>
          <w:rFonts w:ascii="PragmaticaCTT" w:hAnsi="PragmaticaCTT"/>
          <w:sz w:val="28"/>
          <w:szCs w:val="28"/>
        </w:rPr>
        <w:t xml:space="preserve">, але </w:t>
      </w:r>
      <w:r w:rsidR="00A5709C" w:rsidRPr="00E01E09">
        <w:rPr>
          <w:rFonts w:ascii="PragmaticaCTT" w:hAnsi="PragmaticaCTT"/>
          <w:sz w:val="28"/>
          <w:szCs w:val="28"/>
        </w:rPr>
        <w:t xml:space="preserve">цінні папери </w:t>
      </w:r>
      <w:r w:rsidR="00316C75" w:rsidRPr="00E01E09">
        <w:rPr>
          <w:rFonts w:ascii="PragmaticaCTT" w:hAnsi="PragmaticaCTT"/>
          <w:sz w:val="28"/>
          <w:szCs w:val="28"/>
        </w:rPr>
        <w:t>якого</w:t>
      </w:r>
      <w:r w:rsidR="00A5709C" w:rsidRPr="00E01E09">
        <w:rPr>
          <w:rFonts w:ascii="PragmaticaCTT" w:hAnsi="PragmaticaCTT"/>
          <w:sz w:val="28"/>
          <w:szCs w:val="28"/>
        </w:rPr>
        <w:t xml:space="preserve"> допущені до торгів на фондовій біржі</w:t>
      </w:r>
      <w:r w:rsidR="00316C75" w:rsidRPr="00E01E09">
        <w:rPr>
          <w:rFonts w:ascii="PragmaticaCTT" w:hAnsi="PragmaticaCTT"/>
          <w:sz w:val="28"/>
          <w:szCs w:val="28"/>
        </w:rPr>
        <w:t>, наводить нижче</w:t>
      </w:r>
      <w:r w:rsidRPr="00E01E09">
        <w:rPr>
          <w:rFonts w:ascii="PragmaticaCTT" w:hAnsi="PragmaticaCTT"/>
          <w:sz w:val="28"/>
          <w:szCs w:val="28"/>
        </w:rPr>
        <w:t xml:space="preserve"> </w:t>
      </w:r>
      <w:r w:rsidR="00316C75" w:rsidRPr="00E01E09">
        <w:rPr>
          <w:rFonts w:ascii="PragmaticaCTT" w:hAnsi="PragmaticaCTT"/>
          <w:sz w:val="28"/>
          <w:szCs w:val="28"/>
        </w:rPr>
        <w:t>Календарний план розміщення у загальнодоступній базі даних Національної комісії з цінних паперів та фондового ринку та власному веб-сайті інформації, документів та повідомлення, оприлюднення яких вимагається відповідно до законодавства</w:t>
      </w:r>
      <w:r w:rsidR="00E01E09">
        <w:rPr>
          <w:rFonts w:ascii="PragmaticaCTT" w:hAnsi="PragmaticaCTT"/>
          <w:sz w:val="28"/>
          <w:szCs w:val="28"/>
        </w:rPr>
        <w:t xml:space="preserve"> України</w:t>
      </w:r>
      <w:r w:rsidR="00C90EB6" w:rsidRPr="00E01E09">
        <w:rPr>
          <w:rFonts w:ascii="PragmaticaCTT" w:hAnsi="PragmaticaCTT"/>
          <w:sz w:val="28"/>
          <w:szCs w:val="28"/>
        </w:rPr>
        <w:t xml:space="preserve"> (далі – Календарний план)</w:t>
      </w:r>
      <w:r w:rsidR="00316C75" w:rsidRPr="00E01E09">
        <w:rPr>
          <w:rFonts w:ascii="PragmaticaCTT" w:hAnsi="PragmaticaCTT"/>
          <w:sz w:val="28"/>
          <w:szCs w:val="28"/>
        </w:rPr>
        <w:t>.</w:t>
      </w:r>
    </w:p>
    <w:p w14:paraId="2C2F880F" w14:textId="707A4021" w:rsidR="00316C75" w:rsidRPr="00E01E09" w:rsidRDefault="00316C75" w:rsidP="00E01E09">
      <w:pPr>
        <w:tabs>
          <w:tab w:val="left" w:pos="6096"/>
        </w:tabs>
        <w:jc w:val="center"/>
        <w:rPr>
          <w:rFonts w:ascii="PragmaticaCTT" w:hAnsi="PragmaticaCTT"/>
          <w:b/>
          <w:sz w:val="28"/>
          <w:szCs w:val="28"/>
        </w:rPr>
      </w:pPr>
      <w:r w:rsidRPr="00E01E09">
        <w:rPr>
          <w:rFonts w:ascii="PragmaticaCTT" w:hAnsi="PragmaticaCTT"/>
          <w:b/>
          <w:sz w:val="28"/>
          <w:szCs w:val="28"/>
        </w:rPr>
        <w:t>Календарний план</w:t>
      </w:r>
      <w:r w:rsidR="00E01E09" w:rsidRPr="00E01E09">
        <w:rPr>
          <w:rFonts w:ascii="PragmaticaCTT" w:hAnsi="PragmaticaCTT"/>
          <w:b/>
          <w:sz w:val="28"/>
          <w:szCs w:val="28"/>
          <w:lang w:val="en-US"/>
        </w:rPr>
        <w:t xml:space="preserve"> </w:t>
      </w:r>
      <w:r w:rsidR="00E01E09" w:rsidRPr="00E01E09">
        <w:rPr>
          <w:rFonts w:ascii="PragmaticaCTT" w:hAnsi="PragmaticaCTT"/>
          <w:b/>
          <w:sz w:val="28"/>
          <w:szCs w:val="28"/>
        </w:rPr>
        <w:t>на 2018рік</w:t>
      </w:r>
      <w:r w:rsidRPr="00E01E09">
        <w:rPr>
          <w:rFonts w:ascii="PragmaticaCTT" w:hAnsi="PragmaticaCTT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3436"/>
      </w:tblGrid>
      <w:tr w:rsidR="004A6205" w:rsidRPr="00E01E09" w14:paraId="048140F1" w14:textId="77777777" w:rsidTr="00E01E09">
        <w:tc>
          <w:tcPr>
            <w:tcW w:w="1129" w:type="dxa"/>
          </w:tcPr>
          <w:p w14:paraId="36836351" w14:textId="77777777" w:rsidR="004A6205" w:rsidRPr="00E01E09" w:rsidRDefault="004A6205" w:rsidP="004A6205">
            <w:pPr>
              <w:tabs>
                <w:tab w:val="left" w:pos="6096"/>
              </w:tabs>
              <w:rPr>
                <w:rFonts w:ascii="PragmaticaCTT" w:hAnsi="PragmaticaCTT"/>
                <w:b/>
                <w:sz w:val="28"/>
                <w:szCs w:val="28"/>
              </w:rPr>
            </w:pPr>
            <w:r w:rsidRPr="00E01E09">
              <w:rPr>
                <w:rFonts w:ascii="PragmaticaCTT" w:hAnsi="PragmaticaCTT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6985F948" w14:textId="77777777" w:rsidR="004A6205" w:rsidRPr="00E01E09" w:rsidRDefault="004A6205" w:rsidP="004A6205">
            <w:pPr>
              <w:tabs>
                <w:tab w:val="left" w:pos="6096"/>
              </w:tabs>
              <w:rPr>
                <w:rFonts w:ascii="PragmaticaCTT" w:hAnsi="PragmaticaCTT"/>
                <w:b/>
                <w:sz w:val="28"/>
                <w:szCs w:val="28"/>
              </w:rPr>
            </w:pPr>
            <w:r w:rsidRPr="00E01E09">
              <w:rPr>
                <w:rFonts w:ascii="PragmaticaCTT" w:hAnsi="PragmaticaCTT"/>
                <w:b/>
                <w:sz w:val="28"/>
                <w:szCs w:val="28"/>
              </w:rPr>
              <w:t>Вид інформації</w:t>
            </w:r>
          </w:p>
        </w:tc>
        <w:tc>
          <w:tcPr>
            <w:tcW w:w="3436" w:type="dxa"/>
          </w:tcPr>
          <w:p w14:paraId="53B93DB6" w14:textId="77777777" w:rsidR="004A6205" w:rsidRPr="00E01E09" w:rsidRDefault="004A6205" w:rsidP="004A6205">
            <w:pPr>
              <w:tabs>
                <w:tab w:val="left" w:pos="6096"/>
              </w:tabs>
              <w:rPr>
                <w:rFonts w:ascii="PragmaticaCTT" w:hAnsi="PragmaticaCTT"/>
                <w:b/>
                <w:sz w:val="28"/>
                <w:szCs w:val="28"/>
              </w:rPr>
            </w:pPr>
            <w:r w:rsidRPr="00E01E09">
              <w:rPr>
                <w:rFonts w:ascii="PragmaticaCTT" w:hAnsi="PragmaticaCTT"/>
                <w:b/>
                <w:sz w:val="28"/>
                <w:szCs w:val="28"/>
              </w:rPr>
              <w:t>Орієнтовна дата оприлюднення</w:t>
            </w:r>
          </w:p>
        </w:tc>
      </w:tr>
      <w:tr w:rsidR="004A6205" w:rsidRPr="00E01E09" w14:paraId="1E272D0E" w14:textId="77777777" w:rsidTr="00E01E09">
        <w:tc>
          <w:tcPr>
            <w:tcW w:w="1129" w:type="dxa"/>
          </w:tcPr>
          <w:p w14:paraId="6DA51E83" w14:textId="77777777" w:rsidR="004A6205" w:rsidRPr="00E01E09" w:rsidRDefault="004A6205" w:rsidP="004A6205">
            <w:pPr>
              <w:tabs>
                <w:tab w:val="left" w:pos="6096"/>
              </w:tabs>
              <w:rPr>
                <w:rFonts w:ascii="PragmaticaCTT" w:hAnsi="PragmaticaCTT"/>
                <w:sz w:val="28"/>
                <w:szCs w:val="28"/>
              </w:rPr>
            </w:pPr>
            <w:r w:rsidRPr="00E01E09">
              <w:rPr>
                <w:rFonts w:ascii="PragmaticaCTT" w:hAnsi="PragmaticaCTT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729073EF" w14:textId="77777777" w:rsidR="004A6205" w:rsidRPr="00E01E09" w:rsidRDefault="004A6205" w:rsidP="004A6205">
            <w:pPr>
              <w:tabs>
                <w:tab w:val="left" w:pos="6096"/>
              </w:tabs>
              <w:rPr>
                <w:rFonts w:ascii="PragmaticaCTT" w:hAnsi="PragmaticaCTT"/>
                <w:sz w:val="28"/>
                <w:szCs w:val="28"/>
              </w:rPr>
            </w:pPr>
            <w:r w:rsidRPr="00E01E09">
              <w:rPr>
                <w:rFonts w:ascii="PragmaticaCTT" w:hAnsi="PragmaticaCTT"/>
                <w:sz w:val="28"/>
                <w:szCs w:val="28"/>
              </w:rPr>
              <w:t>Регулярна річна інформація</w:t>
            </w:r>
          </w:p>
        </w:tc>
        <w:tc>
          <w:tcPr>
            <w:tcW w:w="3436" w:type="dxa"/>
          </w:tcPr>
          <w:p w14:paraId="2ABC8AD7" w14:textId="77777777" w:rsidR="004A6205" w:rsidRPr="00E01E09" w:rsidRDefault="004A6205" w:rsidP="004A6205">
            <w:pPr>
              <w:tabs>
                <w:tab w:val="left" w:pos="6096"/>
              </w:tabs>
              <w:rPr>
                <w:rFonts w:ascii="PragmaticaCTT" w:hAnsi="PragmaticaCTT"/>
                <w:sz w:val="28"/>
                <w:szCs w:val="28"/>
              </w:rPr>
            </w:pPr>
            <w:r w:rsidRPr="00E01E09">
              <w:rPr>
                <w:rFonts w:ascii="PragmaticaCTT" w:hAnsi="PragmaticaCTT"/>
                <w:sz w:val="28"/>
                <w:szCs w:val="28"/>
              </w:rPr>
              <w:t>30.04.2018року</w:t>
            </w:r>
          </w:p>
        </w:tc>
      </w:tr>
      <w:tr w:rsidR="000C5421" w:rsidRPr="00E01E09" w14:paraId="598177F6" w14:textId="77777777" w:rsidTr="00E01E09">
        <w:tc>
          <w:tcPr>
            <w:tcW w:w="1129" w:type="dxa"/>
          </w:tcPr>
          <w:p w14:paraId="6FED2B3F" w14:textId="56E3FB6C" w:rsidR="000C5421" w:rsidRPr="00E01E09" w:rsidRDefault="000C5421" w:rsidP="004A6205">
            <w:pPr>
              <w:tabs>
                <w:tab w:val="left" w:pos="6096"/>
              </w:tabs>
              <w:rPr>
                <w:rFonts w:ascii="PragmaticaCTT" w:hAnsi="PragmaticaCTT"/>
                <w:sz w:val="28"/>
                <w:szCs w:val="28"/>
              </w:rPr>
            </w:pPr>
            <w:r w:rsidRPr="00E01E09">
              <w:rPr>
                <w:rFonts w:ascii="PragmaticaCTT" w:hAnsi="PragmaticaCTT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78A112DC" w14:textId="4E690893" w:rsidR="000C5421" w:rsidRPr="00E01E09" w:rsidRDefault="00334F47" w:rsidP="004A6205">
            <w:pPr>
              <w:tabs>
                <w:tab w:val="left" w:pos="6096"/>
              </w:tabs>
              <w:rPr>
                <w:rFonts w:ascii="PragmaticaCTT" w:hAnsi="PragmaticaCTT"/>
                <w:sz w:val="28"/>
                <w:szCs w:val="28"/>
              </w:rPr>
            </w:pPr>
            <w:r w:rsidRPr="00E01E09">
              <w:rPr>
                <w:rFonts w:ascii="PragmaticaCTT" w:hAnsi="PragmaticaCTT"/>
                <w:sz w:val="28"/>
                <w:szCs w:val="28"/>
              </w:rPr>
              <w:t>Проміжна (квартальна) інформація</w:t>
            </w:r>
            <w:r w:rsidR="00C90EB6" w:rsidRPr="00E01E09">
              <w:rPr>
                <w:rFonts w:ascii="PragmaticaCTT" w:hAnsi="PragmaticaCTT"/>
                <w:sz w:val="28"/>
                <w:szCs w:val="28"/>
              </w:rPr>
              <w:t>*</w:t>
            </w:r>
          </w:p>
        </w:tc>
        <w:tc>
          <w:tcPr>
            <w:tcW w:w="3436" w:type="dxa"/>
          </w:tcPr>
          <w:p w14:paraId="565D6F3E" w14:textId="6AA14780" w:rsidR="000C5421" w:rsidRPr="00E01E09" w:rsidRDefault="00334F47" w:rsidP="004A6205">
            <w:pPr>
              <w:tabs>
                <w:tab w:val="left" w:pos="6096"/>
              </w:tabs>
              <w:rPr>
                <w:rFonts w:ascii="PragmaticaCTT" w:hAnsi="PragmaticaCTT"/>
                <w:sz w:val="28"/>
                <w:szCs w:val="28"/>
              </w:rPr>
            </w:pPr>
            <w:r w:rsidRPr="00E01E09">
              <w:rPr>
                <w:rFonts w:ascii="PragmaticaCTT" w:hAnsi="PragmaticaCTT"/>
                <w:sz w:val="28"/>
                <w:szCs w:val="28"/>
              </w:rPr>
              <w:t>У строки визначені законодавством</w:t>
            </w:r>
          </w:p>
        </w:tc>
      </w:tr>
    </w:tbl>
    <w:p w14:paraId="0FC684EE" w14:textId="77777777" w:rsidR="00E01E09" w:rsidRDefault="00E01E09" w:rsidP="00E01E09">
      <w:pPr>
        <w:tabs>
          <w:tab w:val="left" w:pos="6096"/>
        </w:tabs>
        <w:jc w:val="both"/>
        <w:rPr>
          <w:rFonts w:ascii="PragmaticaCTT" w:hAnsi="PragmaticaCTT"/>
          <w:sz w:val="28"/>
          <w:szCs w:val="28"/>
        </w:rPr>
      </w:pPr>
    </w:p>
    <w:p w14:paraId="11C3A1BD" w14:textId="03C80A3D" w:rsidR="00C90EB6" w:rsidRPr="00E01E09" w:rsidRDefault="00C90EB6" w:rsidP="00E01E09">
      <w:pPr>
        <w:tabs>
          <w:tab w:val="left" w:pos="6096"/>
        </w:tabs>
        <w:jc w:val="both"/>
        <w:rPr>
          <w:rFonts w:ascii="PragmaticaCTT" w:hAnsi="PragmaticaCTT"/>
          <w:sz w:val="28"/>
          <w:szCs w:val="28"/>
        </w:rPr>
      </w:pPr>
      <w:r w:rsidRPr="00E01E09">
        <w:rPr>
          <w:rFonts w:ascii="PragmaticaCTT" w:hAnsi="PragmaticaCTT"/>
          <w:sz w:val="28"/>
          <w:szCs w:val="28"/>
        </w:rPr>
        <w:t>* На момент розміщення цього Календарного плану триває процес виключення акцій ПАТ «Черкаський» з біржового списку ПАТ «Українська біржа».</w:t>
      </w:r>
      <w:r w:rsidR="00E01E09" w:rsidRPr="00E01E09">
        <w:rPr>
          <w:rFonts w:ascii="PragmaticaCTT" w:hAnsi="PragmaticaCTT"/>
          <w:sz w:val="28"/>
          <w:szCs w:val="28"/>
        </w:rPr>
        <w:t xml:space="preserve"> Після виключення цінних паперів емітента із біржового списку фондової біржі, ПАТ «Черкаський» не матиме обов’язку складати, подавати до Національної комісії з цінних паперів та фондового ринку та оприлюднювати проміжну (квартальну</w:t>
      </w:r>
      <w:r w:rsidR="00E01E09">
        <w:rPr>
          <w:rFonts w:ascii="PragmaticaCTT" w:hAnsi="PragmaticaCTT"/>
          <w:sz w:val="28"/>
          <w:szCs w:val="28"/>
        </w:rPr>
        <w:t>)</w:t>
      </w:r>
      <w:r w:rsidR="00E01E09" w:rsidRPr="00E01E09">
        <w:rPr>
          <w:rFonts w:ascii="PragmaticaCTT" w:hAnsi="PragmaticaCTT"/>
          <w:sz w:val="28"/>
          <w:szCs w:val="28"/>
        </w:rPr>
        <w:t xml:space="preserve"> інформацію</w:t>
      </w:r>
      <w:bookmarkStart w:id="0" w:name="_GoBack"/>
      <w:bookmarkEnd w:id="0"/>
      <w:r w:rsidR="00E01E09" w:rsidRPr="00E01E09">
        <w:rPr>
          <w:rFonts w:ascii="PragmaticaCTT" w:hAnsi="PragmaticaCTT"/>
          <w:sz w:val="28"/>
          <w:szCs w:val="28"/>
        </w:rPr>
        <w:t>.</w:t>
      </w:r>
    </w:p>
    <w:sectPr w:rsidR="00C90EB6" w:rsidRPr="00E01E09" w:rsidSect="00E01E09">
      <w:pgSz w:w="11906" w:h="16838" w:code="9"/>
      <w:pgMar w:top="1560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2550"/>
    <w:multiLevelType w:val="hybridMultilevel"/>
    <w:tmpl w:val="28CE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F7C67"/>
    <w:multiLevelType w:val="hybridMultilevel"/>
    <w:tmpl w:val="82EE6CD0"/>
    <w:lvl w:ilvl="0" w:tplc="73E0C19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F4"/>
    <w:rsid w:val="00025DB6"/>
    <w:rsid w:val="0008120F"/>
    <w:rsid w:val="000C5421"/>
    <w:rsid w:val="00190099"/>
    <w:rsid w:val="00316C75"/>
    <w:rsid w:val="00334F47"/>
    <w:rsid w:val="00440777"/>
    <w:rsid w:val="00460AB0"/>
    <w:rsid w:val="004A6205"/>
    <w:rsid w:val="00552596"/>
    <w:rsid w:val="00915717"/>
    <w:rsid w:val="00973D0D"/>
    <w:rsid w:val="00A5709C"/>
    <w:rsid w:val="00B60111"/>
    <w:rsid w:val="00C90EB6"/>
    <w:rsid w:val="00CA3E7D"/>
    <w:rsid w:val="00CF7BF4"/>
    <w:rsid w:val="00E01E09"/>
    <w:rsid w:val="00EE559A"/>
    <w:rsid w:val="00F23977"/>
    <w:rsid w:val="00F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BAA6"/>
  <w15:chartTrackingRefBased/>
  <w15:docId w15:val="{2A520365-B7A2-446B-AC30-BDBB19E9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75"/>
    <w:pPr>
      <w:ind w:left="720"/>
      <w:contextualSpacing/>
    </w:pPr>
  </w:style>
  <w:style w:type="table" w:styleId="a4">
    <w:name w:val="Table Grid"/>
    <w:basedOn w:val="a1"/>
    <w:uiPriority w:val="39"/>
    <w:rsid w:val="004A62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8</cp:revision>
  <dcterms:created xsi:type="dcterms:W3CDTF">2018-01-30T12:47:00Z</dcterms:created>
  <dcterms:modified xsi:type="dcterms:W3CDTF">2018-01-31T13:31:00Z</dcterms:modified>
</cp:coreProperties>
</file>