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5E3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C465E3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Петров Михайло Васильович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C465E3">
      <w:pPr>
        <w:rPr>
          <w:rFonts w:eastAsia="Times New Roman"/>
          <w:color w:val="000000"/>
        </w:rPr>
      </w:pPr>
    </w:p>
    <w:p w:rsidR="00000000" w:rsidRDefault="00C465E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465E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"Черкаський"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19836, Черкаська обл., Драбiвський район, селище Рецюкiвщина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05390017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(04738) 9-22-33, 9-22-33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j.litvinenko@kernel.ua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C465E3">
      <w:pPr>
        <w:rPr>
          <w:rFonts w:eastAsia="Times New Roman"/>
          <w:color w:val="000000"/>
        </w:rPr>
      </w:pPr>
    </w:p>
    <w:p w:rsidR="00000000" w:rsidRDefault="00C465E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2883"/>
        <w:gridCol w:w="2180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№81 "Вiдомостi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http://cherkasskiy.pat.ua/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C465E3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C465E3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2995"/>
        <w:gridCol w:w="2995"/>
        <w:gridCol w:w="3744"/>
        <w:gridCol w:w="44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сукупність вартості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130886320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117577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111319.7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465E3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 загальними зборами акцiонерiв ПАТ "Черкаський" (протокол №б/н вiд 25.04.2018) прийнято рiшення про попереднє надання згоди на вчинення значних правочинiв, якi можуть вчинятися товариством у строк до 24.04.2019 (включно), за умови попереднього по</w:t>
            </w:r>
            <w:r>
              <w:rPr>
                <w:rFonts w:eastAsia="Times New Roman"/>
                <w:color w:val="000000"/>
              </w:rPr>
              <w:t>годження таких правочинiв наглядовою радою товариства, наступного характеру: купiвля – продаж, поставка, вiдчуження або набуття у власнiсть будь-якого майна, застава (у тому числi iпотека), порука, надання або одержання послуг, позик, кредитiв, оренда, кор</w:t>
            </w:r>
            <w:r>
              <w:rPr>
                <w:rFonts w:eastAsia="Times New Roman"/>
                <w:color w:val="000000"/>
              </w:rPr>
              <w:t>истування майном, фiнансовий лiзинг. Гранична сукупнiсть вартостi правочинiв: 130886320 тис.грн. (5 (п'ять) млрд. доларiв США за курсом НБУ 26,177264 грн. на 25.04.2018), вартiсть активiв емiтента за даними останньої рiчної фiнансової звiтностi: 117577 тис</w:t>
            </w:r>
            <w:r>
              <w:rPr>
                <w:rFonts w:eastAsia="Times New Roman"/>
                <w:color w:val="000000"/>
              </w:rPr>
              <w:t>.грн., спiввiдношення граничної сукупностi вартостi правочинiв до вартостi активiв емiтента за даними останньої рiчної фiнансової звiтностi: 111319,7%. Загальна кiлькiсть голосуючих акцiй 3508777 штук, кiлькiсть голосуючих акцiй, що зареєстрованi для участ</w:t>
            </w:r>
            <w:r>
              <w:rPr>
                <w:rFonts w:eastAsia="Times New Roman"/>
                <w:color w:val="000000"/>
              </w:rPr>
              <w:t>i у загальних зборах 3480252 штук, кiлькiсть голосуючих акцiй, що проголосували «за» 3480252 штук, «проти» прийняття рiшення – немає.</w:t>
            </w:r>
          </w:p>
        </w:tc>
      </w:tr>
    </w:tbl>
    <w:p w:rsidR="00C465E3" w:rsidRDefault="00C465E3">
      <w:pPr>
        <w:rPr>
          <w:rFonts w:eastAsia="Times New Roman"/>
        </w:rPr>
      </w:pPr>
    </w:p>
    <w:sectPr w:rsidR="00C465E3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noPunctuationKerning/>
  <w:characterSpacingControl w:val="doNotCompress"/>
  <w:compat/>
  <w:rsids>
    <w:rsidRoot w:val="00826AFD"/>
    <w:rsid w:val="00826AFD"/>
    <w:rsid w:val="00C4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2018-04-27T19:13:00Z</dcterms:created>
  <dcterms:modified xsi:type="dcterms:W3CDTF">2018-04-27T19:13:00Z</dcterms:modified>
</cp:coreProperties>
</file>